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01" w:rsidRPr="00681501" w:rsidRDefault="00681501" w:rsidP="0068150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</w:pPr>
      <w:r w:rsidRPr="0068150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Сроки, место и Порядок подачи и рассмотрения </w:t>
      </w:r>
      <w:proofErr w:type="spellStart"/>
      <w:r w:rsidRPr="00681501">
        <w:rPr>
          <w:rFonts w:ascii="Times New Roman" w:hAnsi="Times New Roman" w:cs="Times New Roman"/>
          <w:b/>
          <w:color w:val="000000"/>
          <w:sz w:val="36"/>
          <w:szCs w:val="36"/>
        </w:rPr>
        <w:t>аппеляций</w:t>
      </w:r>
      <w:proofErr w:type="spellEnd"/>
      <w:r>
        <w:rPr>
          <w:rFonts w:ascii="Verdana" w:eastAsia="Times New Roman" w:hAnsi="Verdana" w:cs="Times New Roman"/>
          <w:noProof/>
          <w:color w:val="0071BB"/>
          <w:sz w:val="25"/>
          <w:szCs w:val="25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0071BB"/>
          <w:sz w:val="25"/>
          <w:szCs w:val="25"/>
          <w:lang w:eastAsia="ru-RU"/>
        </w:rPr>
        <w:drawing>
          <wp:inline distT="0" distB="0" distL="0" distR="0">
            <wp:extent cx="228600" cy="228600"/>
            <wp:effectExtent l="19050" t="0" r="0" b="0"/>
            <wp:docPr id="1" name="Рисунок 1" descr="версия для печати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сия для печати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501" w:rsidRPr="00681501" w:rsidRDefault="00681501" w:rsidP="00681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01">
        <w:rPr>
          <w:rFonts w:ascii="Verdana" w:eastAsia="Times New Roman" w:hAnsi="Verdana" w:cs="Times New Roman"/>
          <w:color w:val="1F262D"/>
          <w:sz w:val="25"/>
          <w:szCs w:val="25"/>
          <w:shd w:val="clear" w:color="auto" w:fill="FFFFFF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681501" w:rsidRPr="00681501" w:rsidRDefault="00681501" w:rsidP="006815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</w:pPr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br/>
        <w:t>Участник ГИА имеет право подать апелляцию в КК в письменной форме: </w:t>
      </w:r>
    </w:p>
    <w:p w:rsidR="00681501" w:rsidRPr="00681501" w:rsidRDefault="00681501" w:rsidP="006815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</w:pPr>
    </w:p>
    <w:p w:rsidR="00681501" w:rsidRPr="00681501" w:rsidRDefault="00681501" w:rsidP="006815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</w:pPr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681501" w:rsidRPr="00681501" w:rsidRDefault="00681501" w:rsidP="006815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</w:pPr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t>о несогласии с выставленными баллами.</w:t>
      </w:r>
    </w:p>
    <w:p w:rsidR="00681501" w:rsidRPr="00681501" w:rsidRDefault="00681501" w:rsidP="006815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</w:pPr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t>Конфликтная комиссия не рассматриваются апелляции по вопросам: </w:t>
      </w:r>
    </w:p>
    <w:p w:rsidR="00681501" w:rsidRPr="00681501" w:rsidRDefault="00681501" w:rsidP="006815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</w:pPr>
    </w:p>
    <w:p w:rsidR="00681501" w:rsidRPr="00681501" w:rsidRDefault="00681501" w:rsidP="006815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</w:pPr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t>содержания и структуры экзаменационных материалов по учебным предметам;</w:t>
      </w:r>
    </w:p>
    <w:p w:rsidR="00681501" w:rsidRPr="00681501" w:rsidRDefault="00681501" w:rsidP="006815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</w:pPr>
      <w:proofErr w:type="gramStart"/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681501" w:rsidRPr="00681501" w:rsidRDefault="00681501" w:rsidP="006815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</w:pPr>
      <w:proofErr w:type="gramStart"/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681501" w:rsidRPr="00681501" w:rsidRDefault="00681501" w:rsidP="006815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</w:pPr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t>неправильного оформления экзаменационной работы.</w:t>
      </w:r>
    </w:p>
    <w:p w:rsidR="00681501" w:rsidRPr="00681501" w:rsidRDefault="00681501" w:rsidP="006815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</w:pPr>
      <w:proofErr w:type="gramStart"/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 </w:t>
      </w:r>
      <w:proofErr w:type="gramEnd"/>
    </w:p>
    <w:p w:rsidR="00681501" w:rsidRPr="00681501" w:rsidRDefault="00681501" w:rsidP="006815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</w:pPr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br/>
      </w:r>
      <w:proofErr w:type="gramStart"/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t xml:space="preserve"> помощь </w:t>
      </w:r>
      <w:proofErr w:type="gramStart"/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t>обучающимся</w:t>
      </w:r>
      <w:proofErr w:type="gramEnd"/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t xml:space="preserve"> с ограниченными возможностями здоровья.</w:t>
      </w:r>
    </w:p>
    <w:p w:rsidR="00681501" w:rsidRPr="00681501" w:rsidRDefault="00681501" w:rsidP="006815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</w:pPr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t> </w:t>
      </w:r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br/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 </w:t>
      </w:r>
    </w:p>
    <w:p w:rsidR="00681501" w:rsidRPr="00681501" w:rsidRDefault="00681501" w:rsidP="006815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</w:pPr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br/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 </w:t>
      </w:r>
    </w:p>
    <w:p w:rsidR="00681501" w:rsidRPr="00681501" w:rsidRDefault="00681501" w:rsidP="006815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</w:pPr>
    </w:p>
    <w:p w:rsidR="00681501" w:rsidRPr="00681501" w:rsidRDefault="00681501" w:rsidP="0068150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</w:pPr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t>об отклонении апелляции;</w:t>
      </w:r>
    </w:p>
    <w:p w:rsidR="00681501" w:rsidRPr="00681501" w:rsidRDefault="00681501" w:rsidP="0068150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</w:pPr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t>об удовлетворении апелляции.</w:t>
      </w:r>
    </w:p>
    <w:p w:rsidR="00681501" w:rsidRPr="00681501" w:rsidRDefault="00681501" w:rsidP="006815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</w:pPr>
      <w:proofErr w:type="gramStart"/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 </w:t>
      </w:r>
      <w:proofErr w:type="gramEnd"/>
    </w:p>
    <w:p w:rsidR="00681501" w:rsidRPr="00681501" w:rsidRDefault="00681501" w:rsidP="006815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</w:pPr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br/>
      </w:r>
      <w:proofErr w:type="gramStart"/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</w:t>
      </w:r>
      <w:proofErr w:type="gramEnd"/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t xml:space="preserve"> Руководитель образовательной организации, принявший апелляцию, передает ее в конфликтную комиссию в течение одного рабочего дня после ее получения. </w:t>
      </w:r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br/>
      </w:r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br/>
        <w:t>Обучающиеся и их родители (законные представители) заблаговременно информируются о времени и месте рассмотрения апелляций. </w:t>
      </w:r>
    </w:p>
    <w:p w:rsidR="00681501" w:rsidRPr="00681501" w:rsidRDefault="00681501" w:rsidP="006815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</w:pPr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br/>
      </w:r>
      <w:proofErr w:type="gramStart"/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 </w:t>
      </w:r>
      <w:proofErr w:type="gramEnd"/>
    </w:p>
    <w:p w:rsidR="00681501" w:rsidRPr="00681501" w:rsidRDefault="00681501" w:rsidP="006815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</w:pPr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br/>
        <w:t xml:space="preserve">Указанные материалы предъявляются </w:t>
      </w:r>
      <w:proofErr w:type="gramStart"/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t>обучающемуся</w:t>
      </w:r>
      <w:proofErr w:type="gramEnd"/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t xml:space="preserve"> (при его участии в рассмотрении апелляции). </w:t>
      </w:r>
    </w:p>
    <w:p w:rsidR="00681501" w:rsidRPr="00681501" w:rsidRDefault="00681501" w:rsidP="006815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</w:pPr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br/>
      </w:r>
      <w:proofErr w:type="gramStart"/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</w:t>
      </w:r>
      <w:proofErr w:type="gramEnd"/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t xml:space="preserve"> экзаменационной работы, файлы с цифровой аудиозаписью его устного ответа (в случае его участия в рассмотрении апелляции). </w:t>
      </w:r>
    </w:p>
    <w:p w:rsidR="00681501" w:rsidRPr="00681501" w:rsidRDefault="00681501" w:rsidP="006815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</w:pPr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br/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</w:t>
      </w:r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lastRenderedPageBreak/>
        <w:t>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 </w:t>
      </w:r>
    </w:p>
    <w:p w:rsidR="00681501" w:rsidRPr="00681501" w:rsidRDefault="00681501" w:rsidP="006815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</w:pPr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br/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 </w:t>
      </w:r>
    </w:p>
    <w:p w:rsidR="00681501" w:rsidRPr="00681501" w:rsidRDefault="00681501" w:rsidP="006815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</w:pPr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br/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t>обучающихся</w:t>
      </w:r>
      <w:proofErr w:type="gramEnd"/>
      <w:r w:rsidRPr="00681501">
        <w:rPr>
          <w:rFonts w:ascii="Verdana" w:eastAsia="Times New Roman" w:hAnsi="Verdana" w:cs="Times New Roman"/>
          <w:color w:val="1F262D"/>
          <w:sz w:val="25"/>
          <w:szCs w:val="25"/>
          <w:lang w:eastAsia="ru-RU"/>
        </w:rPr>
        <w:t xml:space="preserve"> с полученными ими результатами. </w:t>
      </w:r>
    </w:p>
    <w:p w:rsidR="00CB385C" w:rsidRDefault="00CB385C"/>
    <w:sectPr w:rsidR="00CB385C" w:rsidSect="00CB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55796"/>
    <w:multiLevelType w:val="multilevel"/>
    <w:tmpl w:val="826C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9C0073"/>
    <w:multiLevelType w:val="multilevel"/>
    <w:tmpl w:val="BC88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AC1528"/>
    <w:multiLevelType w:val="multilevel"/>
    <w:tmpl w:val="C352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oNotDisplayPageBoundaries/>
  <w:proofState w:spelling="clean" w:grammar="clean"/>
  <w:defaultTabStop w:val="708"/>
  <w:characterSpacingControl w:val="doNotCompress"/>
  <w:compat/>
  <w:rsids>
    <w:rsidRoot w:val="00681501"/>
    <w:rsid w:val="00310C22"/>
    <w:rsid w:val="00681501"/>
    <w:rsid w:val="00CB385C"/>
    <w:rsid w:val="00DA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5C"/>
  </w:style>
  <w:style w:type="paragraph" w:styleId="1">
    <w:name w:val="heading 1"/>
    <w:basedOn w:val="a"/>
    <w:link w:val="10"/>
    <w:uiPriority w:val="9"/>
    <w:qFormat/>
    <w:rsid w:val="00681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5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1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gia.edu.ru/ru/graduates_classes/appeal/printable.php?prin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4133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й</cp:lastModifiedBy>
  <cp:revision>2</cp:revision>
  <dcterms:created xsi:type="dcterms:W3CDTF">2020-05-19T00:27:00Z</dcterms:created>
  <dcterms:modified xsi:type="dcterms:W3CDTF">2020-05-19T00:27:00Z</dcterms:modified>
</cp:coreProperties>
</file>